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 (Apache licensed) using REFERENCE JAXB in IcedTea Java 1.8.0_392 on Linux -->
    <w:p w:rsidR="00946BC1" w:rsidP="00946BC1" w:rsidRDefault="00647BB1" w14:paraId="2AABE92C" w14:textId="312A33EA">
      <w:pPr>
        <w:jc w:val="center"/>
        <w:rPr>
          <w:rFonts w:ascii="仿宋" w:hAnsi="仿宋" w:eastAsia="仿宋"/>
          <w:b/>
          <w:bCs/>
          <w:color w:val="000000"/>
          <w:sz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sz w:val="28"/>
          <w:shd w:val="clear" w:color="auto" w:fill="FFFFFF"/>
        </w:rPr>
        <w:t>席某等销售假冒注册商标的商品罪一审刑事判决书</w:t>
      </w:r>
    </w:p>
    <w:p w:rsidR="00946BC1" w:rsidP="00946BC1" w:rsidRDefault="00946BC1" w14:paraId="05AD9475" w14:textId="77777777">
      <w:pPr>
        <w:jc w:val="center"/>
        <w:rPr>
          <w:rFonts w:ascii="仿宋" w:hAnsi="仿宋" w:eastAsia="仿宋"/>
          <w:b/>
          <w:bCs/>
          <w:color w:val="000000"/>
          <w:sz w:val="28"/>
          <w:shd w:val="clear" w:color="auto" w:fill="FFFFFF"/>
        </w:rPr>
      </w:pPr>
    </w:p>
    <w:p w:rsidRPr="00946BC1" w:rsidR="00946BC1" w:rsidP="00716612" w:rsidRDefault="00946BC1" w14:paraId="7A190041" w14:textId="05BE10BE">
      <w:pPr>
        <w:spacing w:line="360" w:lineRule="auto"/>
        <w:rPr>
          <w:rFonts w:ascii="仿宋" w:hAnsi="仿宋" w:eastAsia="仿宋"/>
          <w:b/>
          <w:bCs/>
          <w:color w:val="000000"/>
          <w:szCs w:val="22"/>
          <w:shd w:val="clear" w:color="auto" w:fill="FFFFFF"/>
        </w:rPr>
      </w:pPr>
      <w:r w:rsidRPr="00946BC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>审理法院：</w:t>
      </w:r>
      <w:r w:rsidR="00647BB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>上海市静安区人民法院</w:t>
      </w:r>
    </w:p>
    <w:p w:rsidRPr="00946BC1" w:rsidR="00946BC1" w:rsidP="00716612" w:rsidRDefault="00946BC1" w14:paraId="67922CA4" w14:textId="519DD351">
      <w:pPr>
        <w:spacing w:line="360" w:lineRule="auto"/>
        <w:rPr>
          <w:rFonts w:ascii="仿宋" w:hAnsi="仿宋" w:eastAsia="仿宋"/>
          <w:b/>
          <w:bCs/>
          <w:color w:val="000000"/>
          <w:szCs w:val="22"/>
          <w:shd w:val="clear" w:color="auto" w:fill="FFFFFF"/>
        </w:rPr>
      </w:pPr>
      <w:r w:rsidRPr="00946BC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 xml:space="preserve">案 </w:t>
      </w:r>
      <w:r w:rsidR="00EA5D01">
        <w:rPr>
          <w:rFonts w:ascii="仿宋" w:hAnsi="仿宋" w:eastAsia="仿宋"/>
          <w:b/>
          <w:bCs/>
          <w:color w:val="000000"/>
          <w:szCs w:val="22"/>
          <w:shd w:val="clear" w:color="auto" w:fill="FFFFFF"/>
        </w:rPr>
        <w:t xml:space="preserve">   </w:t>
      </w:r>
      <w:r w:rsidRPr="00946BC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>号：</w:t>
      </w:r>
      <w:r w:rsidR="00647BB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>（2023）沪0106刑初434号</w:t>
      </w:r>
    </w:p>
    <w:p w:rsidRPr="00946BC1" w:rsidR="00946BC1" w:rsidP="00716612" w:rsidRDefault="00946BC1" w14:paraId="4FD8CBD5" w14:textId="4C799A4F">
      <w:pPr>
        <w:spacing w:line="360" w:lineRule="auto"/>
        <w:rPr>
          <w:rFonts w:ascii="仿宋" w:hAnsi="仿宋" w:eastAsia="仿宋"/>
          <w:b/>
          <w:bCs/>
          <w:color w:val="000000"/>
          <w:szCs w:val="22"/>
          <w:shd w:val="clear" w:color="auto" w:fill="FFFFFF"/>
        </w:rPr>
      </w:pPr>
      <w:r w:rsidRPr="00946BC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>裁判日期：</w:t>
      </w:r>
      <w:r w:rsidR="00647BB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>2023-05-25</w:t>
      </w:r>
    </w:p>
    <w:p w:rsidR="00946BC1" w:rsidP="00716612" w:rsidRDefault="00946BC1" w14:paraId="0B62399F" w14:textId="58387A40">
      <w:pPr>
        <w:spacing w:line="360" w:lineRule="auto"/>
        <w:rPr>
          <w:rFonts w:ascii="仿宋" w:hAnsi="仿宋" w:eastAsia="仿宋"/>
          <w:b/>
          <w:bCs/>
          <w:color w:val="000000"/>
          <w:szCs w:val="22"/>
          <w:shd w:val="clear" w:color="auto" w:fill="FFFFFF"/>
        </w:rPr>
      </w:pPr>
      <w:r w:rsidRPr="00946BC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 xml:space="preserve">案 </w:t>
      </w:r>
      <w:r w:rsidR="00EA5D01">
        <w:rPr>
          <w:rFonts w:ascii="仿宋" w:hAnsi="仿宋" w:eastAsia="仿宋"/>
          <w:b/>
          <w:bCs/>
          <w:color w:val="000000"/>
          <w:szCs w:val="22"/>
          <w:shd w:val="clear" w:color="auto" w:fill="FFFFFF"/>
        </w:rPr>
        <w:t xml:space="preserve">   </w:t>
      </w:r>
      <w:r w:rsidRPr="00946BC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>由：</w:t>
      </w:r>
      <w:r w:rsidR="00647BB1">
        <w:rPr>
          <w:rFonts w:hint="eastAsia" w:ascii="仿宋" w:hAnsi="仿宋" w:eastAsia="仿宋"/>
          <w:b/>
          <w:bCs/>
          <w:color w:val="000000"/>
          <w:szCs w:val="22"/>
          <w:shd w:val="clear" w:color="auto" w:fill="FFFFFF"/>
        </w:rPr>
        <w:t>销售假冒注册商标的商品</w:t>
      </w:r>
    </w:p>
    <w:p w:rsidR="00946BC1" w:rsidP="00946BC1" w:rsidRDefault="00946BC1" w14:paraId="7A578806" w14:textId="77777777">
      <w:pPr>
        <w:pBdr>
          <w:bottom w:val="single" w:color="auto" w:sz="6" w:space="1"/>
        </w:pBdr>
        <w:rPr>
          <w:rFonts w:ascii="仿宋" w:hAnsi="仿宋" w:eastAsia="仿宋"/>
          <w:b/>
          <w:bCs/>
          <w:color w:val="000000"/>
          <w:szCs w:val="22"/>
          <w:shd w:val="clear" w:color="auto" w:fill="FFFFFF"/>
        </w:rPr>
      </w:pPr>
    </w:p>
    <w:p w:rsidRPr="00946BC1" w:rsidR="00946BC1" w:rsidP="00946BC1" w:rsidRDefault="00946BC1" w14:paraId="0E8962D9" w14:textId="77777777">
      <w:pPr>
        <w:rPr>
          <w:rFonts w:ascii="仿宋" w:hAnsi="仿宋" w:eastAsia="仿宋"/>
          <w:b/>
          <w:bCs/>
          <w:color w:val="000000"/>
          <w:szCs w:val="22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公诉机关上海市静安区人民检察院。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被告人刘某。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2010年6月因犯故意毁坏财物罪被判处有期徒刑一年，2010年8月1日刑满释放。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因本案于2022年8月25日因被刑事拘留，同年9月30日被取保候审。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辩护人俞某，某某律师事务所1律师，系某某中心指派。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被告人席某。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因本案于2022年8月25日因被刑事拘留，同年9月30日被取保候审。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辩护人吕某，某某律师事务所2律师，系某某中心指派。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上海市静安区人民检察院以沪静检刑诉〔2023〕327号起诉书指控被告人刘某、席某犯销售假冒注册商标的商品罪，于2023年5月5日向本院提起公诉。本院受理后，依法组成合议庭，适用简易程序，公开开庭审理了本案。上海市静安区人民检察院指派检察员蒋某出庭支持公诉。被告人刘某、席某及辩护人俞某、吕某均到庭参加诉讼，现已审理终结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经审理查明，2021年4月起，被告人刘某租赁辽宁省鞍山市，通过“抖音”“快手”平台直播宣传假冒“始祖鸟”和“迪桑特”品牌商品，将客户引流至微信群，通过微信销售假冒上述品牌服装等商品。同时在“快手”平台开设网店“博品汇”，销售假冒上述品牌服装等商品。被告人席某于2021年5月入职，负责客服工作。2022年8月25日，公安机关在上址扣押假冒涉案品牌服装、鞋790件。经司法审计，截止案发，被告人刘某销售金额34万余元，被告人席某参与销售金额31万余元，待销售假货货值金额31万余元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2022年8月25日，被告人刘某、席某被公安机关抓获。到案后，二名被告人如实供述了上述犯罪事实。在本院审理过程中，被告人刘某退出违法所得17万元，被告人席某退出违法所得3.5万元。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公诉机关建议判处被告人刘某有期徒刑三年，适用缓刑，并处罚金；判处被告人席某有期徒刑十个月，适用缓刑，并处罚金。二名被告人对量刑建议均没有异议且签字具结。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以上事实，被告人刘某、席某在开庭审理过程中均无异议，且有证人陈某的证言笔录，某体育用品贸易（上海）有限公司、某（中国）有限公司出具的《商标注册证》《核准续展注册证明》《授权委托书》《营业执照》《价格证明》《鉴定报告》，公安机关出具的搜查证、搜查笔录、扣押决定书、扣押笔录、扣押清单、到案情况，微信交易记录截图、快递面单、物流信息截图、微信朋友圈截图、微信群聊天记录截图，快手店铺交易记录、账本、微信交易记录，某某事务所有限公司审计报告，刑事判决书、刑满释放证明书，代管款收据，二名被告人的供述及户籍资料等证据证实，足以认定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本院认为，被告人刘某、席某明知是假冒注册商标的商品，仍共同对外销售，有其他特别严重情节，其行为均已构成销售假冒注册商标的商品罪，依法应予惩处。公诉机关指控的罪名成立，本院予以支持。在共同犯罪中，被告人刘某起主要作用，系主犯；被告人席某起次要作用，系从犯，依法应当减轻处罚。被告人刘某、席某能如实供述自己的罪行，依法均可从轻处罚。被告人刘某、席某退出违法所得，可以酌情从轻处罚。根据被告人刘某、席某的犯罪事实、情节、认罪悔罪态度等，均可以适用缓刑，采纳公诉机关的量刑建议及辩护人的相关辩护意见。据此，依照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《中华人民共和国刑法》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第二百一十四条</w:t>
      </w:r>
      <w:r>
        <w:rPr>
          <w:rFonts w:hint="eastAsia" w:ascii="仿宋" w:hAnsi="仿宋" w:eastAsia="仿宋"/>
          <w:color w:val="000000"/>
        </w:rPr>
        <w:t xml:space="preserve">，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第二十五条第一款</w:t>
      </w:r>
      <w:r>
        <w:rPr>
          <w:rFonts w:hint="eastAsia" w:ascii="仿宋" w:hAnsi="仿宋" w:eastAsia="仿宋"/>
          <w:color w:val="000000"/>
        </w:rPr>
        <w:t xml:space="preserve">，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第二十六条第一款</w:t>
      </w:r>
      <w:r>
        <w:rPr>
          <w:rFonts w:hint="eastAsia" w:ascii="仿宋" w:hAnsi="仿宋" w:eastAsia="仿宋"/>
          <w:color w:val="000000"/>
        </w:rPr>
        <w:t xml:space="preserve">，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第二十七条</w:t>
      </w:r>
      <w:r>
        <w:rPr>
          <w:rFonts w:hint="eastAsia" w:ascii="仿宋" w:hAnsi="仿宋" w:eastAsia="仿宋"/>
          <w:color w:val="000000"/>
        </w:rPr>
        <w:t xml:space="preserve">，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第六十七条第三款</w:t>
      </w:r>
      <w:r>
        <w:rPr>
          <w:rFonts w:hint="eastAsia" w:ascii="仿宋" w:hAnsi="仿宋" w:eastAsia="仿宋"/>
          <w:color w:val="000000"/>
        </w:rPr>
        <w:t xml:space="preserve">，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第七十二条第一款</w:t>
      </w:r>
      <w:r>
        <w:rPr>
          <w:rFonts w:hint="eastAsia" w:ascii="仿宋" w:hAnsi="仿宋" w:eastAsia="仿宋"/>
          <w:color w:val="000000"/>
        </w:rPr>
        <w:t xml:space="preserve">、第三款，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第七十三条第二款</w:t>
      </w:r>
      <w:r>
        <w:rPr>
          <w:rFonts w:hint="eastAsia" w:ascii="仿宋" w:hAnsi="仿宋" w:eastAsia="仿宋"/>
          <w:color w:val="000000"/>
        </w:rPr>
        <w:t xml:space="preserve">、第三款，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第六十四条</w:t>
      </w:r>
      <w:r>
        <w:rPr>
          <w:rFonts w:hint="eastAsia" w:ascii="仿宋" w:hAnsi="仿宋" w:eastAsia="仿宋"/>
          <w:color w:val="000000"/>
        </w:rPr>
        <w:t xml:space="preserve">及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《中华人民共和国刑事诉讼法》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第十五条</w:t>
      </w:r>
      <w:r>
        <w:rPr>
          <w:rFonts w:hint="eastAsia" w:ascii="仿宋" w:hAnsi="仿宋" w:eastAsia="仿宋"/>
          <w:color w:val="000000"/>
        </w:rPr>
        <w:t xml:space="preserve">之规定，判决如下：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一、被告人刘某犯销售假冒注册商标的商品罪，判处有期徒刑三年，缓刑三年，并处罚金人民币十五万元。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（缓刑考验期限自本判决确定之日起计算；罚金应在本判决生效之日起三十日内缴付本院。）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二、被告人席某犯销售假冒注册商标的商品罪，判处有期徒刑十个月，缓刑一年，并处罚金人民币六万元。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（缓刑考验期限自本判决确定之日起计算；罚金应在本判决生效之日起三十日内缴付本院。）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三、退出的违法所得连同查获的假冒注册商标的商品等依法予以没收。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刘某、席某回到社区后，应当遵守法律、法规，服从监督管理，接受教育，完成公益劳动，做一名有益社会的公民。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如不服本判决，可在接到判决书的第二日起十日内，通过本院或者直接向上海市第三中级人民法院提出上诉。书面上诉的，应交上诉状正本一份，副本一份。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审判长顾正仰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人民陪审员王竹军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人民陪审员梁钟芳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书记员周子扬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附相关法律条文一、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《中华人民共和国刑法》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第二百一十四条</w:t>
      </w:r>
      <w:r>
        <w:rPr>
          <w:rFonts w:hint="eastAsia" w:ascii="仿宋" w:hAnsi="仿宋" w:eastAsia="仿宋"/>
          <w:color w:val="000000"/>
        </w:rPr>
        <w:t xml:space="preserve">销售明知是假冒注册商标的商品，违法所得数额较大或者有其他严重情节的，处三年以下有期徒刑，并处或者单处罚金；违法所得数额巨大或者有其他特别严重情节的，处三年以上十年以下有期徒刑，并处罚金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第二十五条</w:t>
      </w:r>
      <w:r>
        <w:rPr>
          <w:rFonts w:hint="eastAsia" w:ascii="仿宋" w:hAnsi="仿宋" w:eastAsia="仿宋"/>
          <w:color w:val="000000"/>
        </w:rPr>
        <w:t xml:space="preserve">共同犯罪是指二人以上共同故意犯罪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……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第二十六条</w:t>
      </w:r>
      <w:r>
        <w:rPr>
          <w:rFonts w:hint="eastAsia" w:ascii="仿宋" w:hAnsi="仿宋" w:eastAsia="仿宋"/>
          <w:color w:val="000000"/>
        </w:rPr>
        <w:t xml:space="preserve">组织、领导犯罪集团进行犯罪活动的或者在共同犯罪中起主要作用的，是主犯。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……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第二十七条</w:t>
      </w:r>
      <w:r>
        <w:rPr>
          <w:rFonts w:hint="eastAsia" w:ascii="仿宋" w:hAnsi="仿宋" w:eastAsia="仿宋"/>
          <w:color w:val="000000"/>
        </w:rPr>
        <w:t xml:space="preserve">在共同犯罪中起次要或者辅助作用的，是从犯。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对于从犯，应当从轻、减轻处罚或者免除处罚。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第六十七条</w:t>
      </w:r>
      <w:r>
        <w:rPr>
          <w:rFonts w:hint="eastAsia" w:ascii="仿宋" w:hAnsi="仿宋" w:eastAsia="仿宋"/>
          <w:color w:val="000000"/>
        </w:rPr>
        <w:t xml:space="preserve">……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犯罪嫌疑人虽不具有前两款规定的自首情节，但是如实供述自己罪行的，可以从轻处罚；因其如实供述自己罪行，避免特别严重后果发生的，可以减轻处罚。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第七十二条</w:t>
      </w:r>
      <w:r>
        <w:rPr>
          <w:rFonts w:hint="eastAsia" w:ascii="仿宋" w:hAnsi="仿宋" w:eastAsia="仿宋"/>
          <w:color w:val="000000"/>
        </w:rPr>
        <w:t xml:space="preserve">对于被判处拘役、三年以下有期徒刑的犯罪分子，同时符合下列条件的，可以宣告缓刑，对其中不满十八周岁的人、怀孕的妇女和已满七十五周岁的人，应当宣告缓刑：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（一）犯罪情节较轻；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（二）有悔罪表现；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（三）没有再犯罪的危险；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（四）宣告缓刑对所居住社区没有重大不良影响。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……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被宣告缓刑的犯罪分子，如果被判处附加刑，附加刑仍须执行。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第七十三条</w:t>
      </w:r>
      <w:r>
        <w:rPr>
          <w:rFonts w:hint="eastAsia" w:ascii="仿宋" w:hAnsi="仿宋" w:eastAsia="仿宋"/>
          <w:color w:val="000000"/>
        </w:rPr>
        <w:t xml:space="preserve">……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有期徒刑的缓刑考验期限为原判刑期以上五年以下，但是不能少于一年。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缓刑考验期限，从判决确定之日起计算。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第六十四条</w:t>
      </w:r>
      <w:r>
        <w:rPr>
          <w:rFonts w:hint="eastAsia" w:ascii="仿宋" w:hAnsi="仿宋" w:eastAsia="仿宋"/>
          <w:color w:val="000000"/>
        </w:rPr>
        <w:t xml:space="preserve">犯罪分子违法所得的一切财物，应当予以追缴或者责令退赔；对被害人的合法财产，应当及时返还；违禁品和供犯罪所用的本人财物，应当予以没收。没收的财物和罚金，一律上缴国库，不得挪用和自行处理。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color w:val="000000"/>
        </w:rPr>
        <w:t xml:space="preserve">二、</w:t>
      </w: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《中华人民共和国刑事诉讼法》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  <w:r>
        <w:rPr>
          <w:rFonts w:hint="eastAsia" w:ascii="仿宋" w:hAnsi="仿宋" w:eastAsia="仿宋"/>
          <w:b/>
          <w:bCs/>
          <w:color w:val="2E74B5" w:themeColor="accent5" w:themeShade="BF"/>
        </w:rPr>
        <w:t xml:space="preserve">第十五条</w:t>
      </w:r>
      <w:r>
        <w:rPr>
          <w:rFonts w:hint="eastAsia" w:ascii="仿宋" w:hAnsi="仿宋" w:eastAsia="仿宋"/>
          <w:color w:val="000000"/>
        </w:rPr>
        <w:t xml:space="preserve">犯罪嫌疑人、被告人自愿如实供述自己的罪行，承认指控的犯罪事实，愿意接受处罚的，可以依法从宽处理。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bCs/>
          <w:color w:val="2E74B5" w:themeColor="accent5" w:themeShade="BF"/>
        </w:rPr>
      </w:pPr>
    </w:p>
    <w:p w:rsidRPr="008E6220" w:rsidR="00DC095F" w:rsidP="00716612" w:rsidRDefault="00DC095F" w14:paraId="5A2CE083" w14:textId="34098D9A">
      <w:pPr>
        <w:rPr>
          <w:rFonts w:ascii="仿宋" w:hAnsi="仿宋" w:eastAsia="仿宋"/>
          <w:color w:val="344054"/>
        </w:rPr>
      </w:pPr>
    </w:p>
    <w:sectPr w:rsidRPr="008E6220" w:rsidR="00DC095F" w:rsidSect="00476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A84E" w14:textId="77777777" w:rsidR="009E2914" w:rsidRDefault="009E2914">
      <w:r>
        <w:separator/>
      </w:r>
    </w:p>
  </w:endnote>
  <w:endnote w:type="continuationSeparator" w:id="0">
    <w:p w14:paraId="5376EF4A" w14:textId="77777777" w:rsidR="009E2914" w:rsidRDefault="009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86079082"/>
      <w:docPartObj>
        <w:docPartGallery w:val="Page Numbers (Bottom of Page)"/>
        <w:docPartUnique/>
      </w:docPartObj>
    </w:sdtPr>
    <w:sdtContent>
      <w:p w14:paraId="0173B025" w14:textId="00349CCB" w:rsidR="003577CF" w:rsidRDefault="003577CF" w:rsidP="007F2391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7945AFBC" w14:textId="77777777" w:rsidR="003577CF" w:rsidRDefault="003577C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513752"/>
      <w:docPartObj>
        <w:docPartGallery w:val="Page Numbers (Bottom of Page)"/>
        <w:docPartUnique/>
      </w:docPartObj>
    </w:sdtPr>
    <w:sdtContent>
      <w:p w14:paraId="63A8F804" w14:textId="41DBC716" w:rsidR="00990863" w:rsidRDefault="009908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8165A8" w14:textId="6B808653" w:rsidR="00A1523F" w:rsidRDefault="00000000">
    <w:hyperlink r:id="rId1">
      <w:r w:rsidR="00990863">
        <w:rPr>
          <w:color w:val="0563C1"/>
          <w:u w:val="single"/>
        </w:rPr>
        <w:t>meta.law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5B10" w14:textId="77777777" w:rsidR="00476212" w:rsidRDefault="004762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24D2" w14:textId="77777777" w:rsidR="009E2914" w:rsidRDefault="009E2914">
      <w:r>
        <w:separator/>
      </w:r>
    </w:p>
  </w:footnote>
  <w:footnote w:type="continuationSeparator" w:id="0">
    <w:p w14:paraId="1FDEF800" w14:textId="77777777" w:rsidR="009E2914" w:rsidRDefault="009E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15EF" w14:textId="77777777" w:rsidR="00476212" w:rsidRDefault="004762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C1D1" w14:textId="77777777" w:rsidR="00A1523F" w:rsidRDefault="00000000">
    <w:pPr>
      <w:jc w:val="right"/>
    </w:pPr>
    <w:r>
      <w:rPr>
        <w:noProof/>
      </w:rPr>
      <w:drawing>
        <wp:inline distT="0" distB="0" distL="0" distR="0" wp14:anchorId="1B5AB988" wp14:editId="028C695B">
          <wp:extent cx="1714500" cy="219075"/>
          <wp:effectExtent l="0" t="0" r="0" b="0"/>
          <wp:docPr id="543667165" name="图片 543667165" descr="metapro添加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2423E" w14:textId="77777777" w:rsidR="00A1523F" w:rsidRDefault="00A1523F">
    <w:pPr>
      <w:jc w:val="right"/>
    </w:pPr>
  </w:p>
  <w:p w14:paraId="2A044421" w14:textId="1511F2AB" w:rsidR="00A1523F" w:rsidRDefault="00A1523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BE54" w14:textId="77777777" w:rsidR="00476212" w:rsidRDefault="00476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89E"/>
    <w:multiLevelType w:val="hybridMultilevel"/>
    <w:tmpl w:val="251C20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102422"/>
    <w:multiLevelType w:val="hybridMultilevel"/>
    <w:tmpl w:val="F0B4EB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734B3F"/>
    <w:multiLevelType w:val="hybridMultilevel"/>
    <w:tmpl w:val="6FAED40A"/>
    <w:lvl w:ilvl="0" w:tplc="107249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78D492F"/>
    <w:multiLevelType w:val="hybridMultilevel"/>
    <w:tmpl w:val="3C4EEF3C"/>
    <w:lvl w:ilvl="0" w:tplc="047C4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E697B29"/>
    <w:multiLevelType w:val="hybridMultilevel"/>
    <w:tmpl w:val="2EFA93F6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442481"/>
    <w:multiLevelType w:val="hybridMultilevel"/>
    <w:tmpl w:val="69AA3D06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5DA66D2"/>
    <w:multiLevelType w:val="hybridMultilevel"/>
    <w:tmpl w:val="114267D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48E7A8F"/>
    <w:multiLevelType w:val="hybridMultilevel"/>
    <w:tmpl w:val="E544E9F0"/>
    <w:lvl w:ilvl="0" w:tplc="C3FC5656">
      <w:start w:val="1"/>
      <w:numFmt w:val="bullet"/>
      <w:lvlText w:val=""/>
      <w:lvlJc w:val="left"/>
      <w:pPr>
        <w:ind w:left="440" w:hanging="440"/>
      </w:pPr>
      <w:rPr>
        <w:rFonts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E811354"/>
    <w:multiLevelType w:val="hybridMultilevel"/>
    <w:tmpl w:val="65A83B4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C360022"/>
    <w:multiLevelType w:val="hybridMultilevel"/>
    <w:tmpl w:val="D7BCD322"/>
    <w:lvl w:ilvl="0" w:tplc="FE72F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5294275">
    <w:abstractNumId w:val="4"/>
  </w:num>
  <w:num w:numId="2" w16cid:durableId="1093552674">
    <w:abstractNumId w:val="5"/>
  </w:num>
  <w:num w:numId="3" w16cid:durableId="157502288">
    <w:abstractNumId w:val="8"/>
  </w:num>
  <w:num w:numId="4" w16cid:durableId="1396276729">
    <w:abstractNumId w:val="2"/>
  </w:num>
  <w:num w:numId="5" w16cid:durableId="646399583">
    <w:abstractNumId w:val="9"/>
  </w:num>
  <w:num w:numId="6" w16cid:durableId="1184317890">
    <w:abstractNumId w:val="3"/>
  </w:num>
  <w:num w:numId="7" w16cid:durableId="1783760586">
    <w:abstractNumId w:val="1"/>
  </w:num>
  <w:num w:numId="8" w16cid:durableId="1410229137">
    <w:abstractNumId w:val="6"/>
  </w:num>
  <w:num w:numId="9" w16cid:durableId="1530754852">
    <w:abstractNumId w:val="0"/>
  </w:num>
  <w:num w:numId="10" w16cid:durableId="854342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3F"/>
    <w:rsid w:val="000110A8"/>
    <w:rsid w:val="000F5BBF"/>
    <w:rsid w:val="00113B4A"/>
    <w:rsid w:val="00124CEF"/>
    <w:rsid w:val="001D5958"/>
    <w:rsid w:val="002B43DF"/>
    <w:rsid w:val="003577CF"/>
    <w:rsid w:val="003B4562"/>
    <w:rsid w:val="00476212"/>
    <w:rsid w:val="004A1444"/>
    <w:rsid w:val="005012FC"/>
    <w:rsid w:val="005A4997"/>
    <w:rsid w:val="005F1AF2"/>
    <w:rsid w:val="00647BB1"/>
    <w:rsid w:val="006B4B99"/>
    <w:rsid w:val="006C741C"/>
    <w:rsid w:val="00716612"/>
    <w:rsid w:val="007701B1"/>
    <w:rsid w:val="0077391D"/>
    <w:rsid w:val="008A27B1"/>
    <w:rsid w:val="008B4761"/>
    <w:rsid w:val="008D3CB2"/>
    <w:rsid w:val="008E6220"/>
    <w:rsid w:val="00926445"/>
    <w:rsid w:val="00935378"/>
    <w:rsid w:val="00946BC1"/>
    <w:rsid w:val="009705C1"/>
    <w:rsid w:val="00990863"/>
    <w:rsid w:val="009C7352"/>
    <w:rsid w:val="009E2914"/>
    <w:rsid w:val="009E2E30"/>
    <w:rsid w:val="009F4306"/>
    <w:rsid w:val="00A1523F"/>
    <w:rsid w:val="00A466E5"/>
    <w:rsid w:val="00A9150E"/>
    <w:rsid w:val="00AD07E7"/>
    <w:rsid w:val="00B46C11"/>
    <w:rsid w:val="00BC13FD"/>
    <w:rsid w:val="00BD5463"/>
    <w:rsid w:val="00C34D66"/>
    <w:rsid w:val="00CB58C7"/>
    <w:rsid w:val="00CC0272"/>
    <w:rsid w:val="00DB23DA"/>
    <w:rsid w:val="00DC095F"/>
    <w:rsid w:val="00DD0E7C"/>
    <w:rsid w:val="00DE228E"/>
    <w:rsid w:val="00E03A9A"/>
    <w:rsid w:val="00E10D11"/>
    <w:rsid w:val="00E61A90"/>
    <w:rsid w:val="00E73728"/>
    <w:rsid w:val="00EA5D01"/>
    <w:rsid w:val="00F04103"/>
    <w:rsid w:val="00F25E40"/>
    <w:rsid w:val="00F34178"/>
    <w:rsid w:val="00F8305E"/>
    <w:rsid w:val="00FF50F2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74E70"/>
  <w15:docId w15:val="{A89F234D-BE99-3C42-8E91-3C723294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12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1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cs="Times New Roman"/>
      <w:sz w:val="21"/>
      <w:szCs w:val="20"/>
    </w:r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  <w:rPr>
      <w:rFonts w:ascii="Times New Roman" w:hAnsi="Times New Roman" w:cs="Times New Roman"/>
      <w:sz w:val="21"/>
      <w:szCs w:val="20"/>
    </w:r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rFonts w:ascii="Times New Roman" w:hAnsi="Times New Roman" w:cs="Times New Roman"/>
      <w:b/>
      <w:bCs/>
      <w:color w:val="4472C4" w:themeColor="accent1"/>
      <w:sz w:val="18"/>
      <w:szCs w:val="18"/>
    </w:rPr>
  </w:style>
  <w:style w:type="character" w:customStyle="1" w:styleId="normalwords">
    <w:name w:val="normal_words"/>
    <w:basedOn w:val="a0"/>
    <w:rsid w:val="00F34178"/>
  </w:style>
  <w:style w:type="paragraph" w:styleId="ae">
    <w:name w:val="footer"/>
    <w:basedOn w:val="a"/>
    <w:link w:val="af"/>
    <w:uiPriority w:val="99"/>
    <w:unhideWhenUsed/>
    <w:rsid w:val="00E73728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3728"/>
    <w:rPr>
      <w:sz w:val="18"/>
      <w:szCs w:val="18"/>
    </w:rPr>
  </w:style>
  <w:style w:type="paragraph" w:styleId="af0">
    <w:name w:val="List Paragraph"/>
    <w:basedOn w:val="a"/>
    <w:uiPriority w:val="99"/>
    <w:unhideWhenUsed/>
    <w:rsid w:val="004A1444"/>
    <w:pPr>
      <w:ind w:firstLineChars="200" w:firstLine="420"/>
    </w:pPr>
    <w:rPr>
      <w:rFonts w:ascii="Times New Roman" w:hAnsi="Times New Roman" w:cs="Times New Roman"/>
      <w:sz w:val="21"/>
      <w:szCs w:val="20"/>
    </w:rPr>
  </w:style>
  <w:style w:type="character" w:customStyle="1" w:styleId="lawlistsectionnamekfchy">
    <w:name w:val="lawlist_sectionname__kfchy"/>
    <w:basedOn w:val="a0"/>
    <w:rsid w:val="00DC095F"/>
  </w:style>
  <w:style w:type="character" w:styleId="af1">
    <w:name w:val="Unresolved Mention"/>
    <w:basedOn w:val="a0"/>
    <w:uiPriority w:val="99"/>
    <w:semiHidden/>
    <w:unhideWhenUsed/>
    <w:rsid w:val="00E61A9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3577CF"/>
  </w:style>
  <w:style w:type="character" w:styleId="af3">
    <w:name w:val="FollowedHyperlink"/>
    <w:basedOn w:val="a0"/>
    <w:uiPriority w:val="99"/>
    <w:semiHidden/>
    <w:unhideWhenUsed/>
    <w:rsid w:val="008E6220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0F5BBF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0F5BBF"/>
  </w:style>
  <w:style w:type="character" w:customStyle="1" w:styleId="af6">
    <w:name w:val="批注文字 字符"/>
    <w:basedOn w:val="a0"/>
    <w:link w:val="af5"/>
    <w:uiPriority w:val="99"/>
    <w:semiHidden/>
    <w:rsid w:val="000F5BBF"/>
    <w:rPr>
      <w:rFonts w:ascii="宋体" w:hAnsi="宋体" w:cs="宋体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F5BBF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0F5BBF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6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27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48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7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4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7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8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0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606">
          <w:marLeft w:val="0"/>
          <w:marRight w:val="72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401">
          <w:marLeft w:val="0"/>
          <w:marRight w:val="72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70">
          <w:marLeft w:val="0"/>
          <w:marRight w:val="72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951">
          <w:marLeft w:val="0"/>
          <w:marRight w:val="72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409">
          <w:marLeft w:val="0"/>
          <w:marRight w:val="72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footer2.xml.rels><?xml version="1.0" encoding="UTF-8" standalone="yes"?>
<Relationships xmlns="http://schemas.openxmlformats.org/package/2006/relationships">
    <Relationship TargetMode="External" Target="https://meta.law/" Type="http://schemas.openxmlformats.org/officeDocument/2006/relationships/hyperlink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/APASixthEditionOfficeOnline.xsl" StyleName="APA"/>
</file>

<file path=customXml/itemProps1.xml><?xml version="1.0" encoding="utf-8"?>
<ds:datastoreItem xmlns:ds="http://schemas.openxmlformats.org/officeDocument/2006/customXml" ds:itemID="{83971F64-E84C-3C40-A829-A894253A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杨松 马</cp:lastModifiedBy>
  <cp:revision>11</cp:revision>
  <dcterms:created xsi:type="dcterms:W3CDTF">2023-11-09T03:53:00Z</dcterms:created>
  <dcterms:modified xsi:type="dcterms:W3CDTF">2023-11-10T08:02:00Z</dcterms:modified>
</cp:coreProperties>
</file>